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33" w:rsidRDefault="006D7C33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Il Corano per parole-chiave</w:t>
      </w:r>
    </w:p>
    <w:p w:rsidR="006D7C33" w:rsidRDefault="006D7C3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Abstract</w:t>
      </w:r>
    </w:p>
    <w:p w:rsidR="00195986" w:rsidRDefault="008673CB" w:rsidP="008673CB">
      <w:pPr>
        <w:jc w:val="both"/>
      </w:pPr>
      <w:r>
        <w:rPr>
          <w:rFonts w:asciiTheme="majorBidi" w:hAnsiTheme="majorBidi" w:cstheme="majorBidi"/>
          <w:sz w:val="24"/>
          <w:szCs w:val="24"/>
        </w:rPr>
        <w:t xml:space="preserve">L’analisi di gruppi di parole-chiave darà conto della complessità del Corano, libro sacro dell’Islam. Innanzitutto verrà descritto come oggetto fisico attraverso un primo gruppo di termini, </w:t>
      </w:r>
      <w:r w:rsidRPr="000F1314">
        <w:rPr>
          <w:rFonts w:asciiTheme="majorBidi" w:hAnsiTheme="majorBidi" w:cstheme="majorBidi"/>
          <w:i/>
          <w:iCs/>
          <w:sz w:val="24"/>
          <w:szCs w:val="24"/>
        </w:rPr>
        <w:t>mushaf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D4C34">
        <w:rPr>
          <w:rFonts w:asciiTheme="majorBidi" w:hAnsiTheme="majorBidi" w:cstheme="majorBidi"/>
          <w:sz w:val="24"/>
          <w:szCs w:val="24"/>
        </w:rPr>
        <w:t>(volume)</w:t>
      </w:r>
      <w:r w:rsidRPr="00C94A8E">
        <w:rPr>
          <w:rFonts w:asciiTheme="majorBidi" w:hAnsiTheme="majorBidi" w:cstheme="majorBidi"/>
          <w:sz w:val="24"/>
          <w:szCs w:val="24"/>
        </w:rPr>
        <w:t xml:space="preserve">, </w:t>
      </w:r>
      <w:r w:rsidRPr="000F1314">
        <w:rPr>
          <w:rFonts w:asciiTheme="majorBidi" w:hAnsiTheme="majorBidi" w:cstheme="majorBidi"/>
          <w:i/>
          <w:iCs/>
          <w:sz w:val="24"/>
          <w:szCs w:val="24"/>
        </w:rPr>
        <w:t>sūra</w:t>
      </w:r>
      <w:r>
        <w:rPr>
          <w:rFonts w:asciiTheme="majorBidi" w:hAnsiTheme="majorBidi" w:cstheme="majorBidi"/>
          <w:sz w:val="24"/>
          <w:szCs w:val="24"/>
        </w:rPr>
        <w:t xml:space="preserve"> (capitolo) e</w:t>
      </w:r>
      <w:r w:rsidRPr="00C94A8E">
        <w:rPr>
          <w:rFonts w:asciiTheme="majorBidi" w:hAnsiTheme="majorBidi" w:cstheme="majorBidi"/>
          <w:sz w:val="24"/>
          <w:szCs w:val="24"/>
        </w:rPr>
        <w:t xml:space="preserve"> </w:t>
      </w:r>
      <w:r w:rsidRPr="000F1314">
        <w:rPr>
          <w:rFonts w:asciiTheme="majorBidi" w:hAnsiTheme="majorBidi" w:cstheme="majorBidi"/>
          <w:i/>
          <w:iCs/>
          <w:sz w:val="24"/>
          <w:szCs w:val="24"/>
        </w:rPr>
        <w:t>āya</w:t>
      </w:r>
      <w:r>
        <w:rPr>
          <w:rFonts w:asciiTheme="majorBidi" w:hAnsiTheme="majorBidi" w:cstheme="majorBidi"/>
          <w:sz w:val="24"/>
          <w:szCs w:val="24"/>
        </w:rPr>
        <w:t xml:space="preserve"> (verso); poi grazie all’analisi di un secondo gruppo di parole, </w:t>
      </w:r>
      <w:r w:rsidRPr="000F1314">
        <w:rPr>
          <w:rFonts w:asciiTheme="majorBidi" w:hAnsiTheme="majorBidi" w:cstheme="majorBidi"/>
          <w:i/>
          <w:iCs/>
          <w:sz w:val="24"/>
          <w:szCs w:val="24"/>
        </w:rPr>
        <w:t>qur’ān</w:t>
      </w:r>
      <w:r>
        <w:rPr>
          <w:rFonts w:asciiTheme="majorBidi" w:hAnsiTheme="majorBidi" w:cstheme="majorBidi"/>
          <w:sz w:val="24"/>
          <w:szCs w:val="24"/>
        </w:rPr>
        <w:t xml:space="preserve"> (recitazione), </w:t>
      </w:r>
      <w:r w:rsidRPr="000F1314">
        <w:rPr>
          <w:rFonts w:asciiTheme="majorBidi" w:hAnsiTheme="majorBidi" w:cstheme="majorBidi"/>
          <w:i/>
          <w:iCs/>
          <w:sz w:val="24"/>
          <w:szCs w:val="24"/>
        </w:rPr>
        <w:t>tanzīl</w:t>
      </w:r>
      <w:r>
        <w:rPr>
          <w:rFonts w:asciiTheme="majorBidi" w:hAnsiTheme="majorBidi" w:cstheme="majorBidi"/>
          <w:sz w:val="24"/>
          <w:szCs w:val="24"/>
        </w:rPr>
        <w:t xml:space="preserve"> (rivelazione) e </w:t>
      </w:r>
      <w:r w:rsidRPr="000F1314">
        <w:rPr>
          <w:rFonts w:asciiTheme="majorBidi" w:hAnsiTheme="majorBidi" w:cstheme="majorBidi"/>
          <w:i/>
          <w:iCs/>
          <w:sz w:val="24"/>
          <w:szCs w:val="24"/>
        </w:rPr>
        <w:t>kitāb</w:t>
      </w:r>
      <w:r>
        <w:rPr>
          <w:rFonts w:asciiTheme="majorBidi" w:hAnsiTheme="majorBidi" w:cstheme="majorBidi"/>
          <w:sz w:val="24"/>
          <w:szCs w:val="24"/>
        </w:rPr>
        <w:t xml:space="preserve"> (libro), si descriverà l’originario meccanismo di trasmissione/rivelazione della scrittura sacra con particolare riferimento al ruolo profetico di Muhammad; infine attraverso l’analisi di alcuni dei nomi di Dio, </w:t>
      </w:r>
      <w:r w:rsidRPr="000F1314">
        <w:rPr>
          <w:rFonts w:asciiTheme="majorBidi" w:hAnsiTheme="majorBidi" w:cstheme="majorBidi"/>
          <w:i/>
          <w:iCs/>
          <w:sz w:val="24"/>
          <w:szCs w:val="24"/>
        </w:rPr>
        <w:t>al-Khāliq</w:t>
      </w:r>
      <w:r>
        <w:rPr>
          <w:rFonts w:asciiTheme="majorBidi" w:hAnsiTheme="majorBidi" w:cstheme="majorBidi"/>
          <w:sz w:val="24"/>
          <w:szCs w:val="24"/>
        </w:rPr>
        <w:t xml:space="preserve"> (il Creatore), </w:t>
      </w:r>
      <w:r w:rsidRPr="000F1314">
        <w:rPr>
          <w:rFonts w:asciiTheme="majorBidi" w:hAnsiTheme="majorBidi" w:cstheme="majorBidi"/>
          <w:i/>
          <w:iCs/>
          <w:sz w:val="24"/>
          <w:szCs w:val="24"/>
        </w:rPr>
        <w:t>al-Rahmān</w:t>
      </w:r>
      <w:r>
        <w:rPr>
          <w:rFonts w:asciiTheme="majorBidi" w:hAnsiTheme="majorBidi" w:cstheme="majorBidi"/>
          <w:sz w:val="24"/>
          <w:szCs w:val="24"/>
        </w:rPr>
        <w:t xml:space="preserve"> (il Clemente), </w:t>
      </w:r>
      <w:r w:rsidRPr="000F1314">
        <w:rPr>
          <w:rFonts w:asciiTheme="majorBidi" w:hAnsiTheme="majorBidi" w:cstheme="majorBidi"/>
          <w:i/>
          <w:iCs/>
          <w:sz w:val="24"/>
          <w:szCs w:val="24"/>
        </w:rPr>
        <w:t>al-Rahīm</w:t>
      </w:r>
      <w:r>
        <w:rPr>
          <w:rFonts w:asciiTheme="majorBidi" w:hAnsiTheme="majorBidi" w:cstheme="majorBidi"/>
          <w:sz w:val="24"/>
          <w:szCs w:val="24"/>
        </w:rPr>
        <w:t xml:space="preserve"> (il Misericordioso), si descriverà il rapporto tra Dio e le sue creature. In particolare verrà trattato il tema della creazione e della giusta misericordia divina.</w:t>
      </w:r>
    </w:p>
    <w:sectPr w:rsidR="00195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33"/>
    <w:rsid w:val="00195986"/>
    <w:rsid w:val="00486206"/>
    <w:rsid w:val="006D7C33"/>
    <w:rsid w:val="008673CB"/>
    <w:rsid w:val="00B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La Rosa</cp:lastModifiedBy>
  <cp:revision>2</cp:revision>
  <dcterms:created xsi:type="dcterms:W3CDTF">2016-11-14T06:16:00Z</dcterms:created>
  <dcterms:modified xsi:type="dcterms:W3CDTF">2016-11-14T06:16:00Z</dcterms:modified>
</cp:coreProperties>
</file>