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7397"/>
      </w:tblGrid>
      <w:tr w:rsidR="00F97FAE" w:rsidRPr="00A7049C" w14:paraId="6C0C5054" w14:textId="77777777" w:rsidTr="002F136A">
        <w:trPr>
          <w:trHeight w:val="830"/>
        </w:trPr>
        <w:tc>
          <w:tcPr>
            <w:tcW w:w="9923" w:type="dxa"/>
            <w:gridSpan w:val="2"/>
            <w:shd w:val="clear" w:color="auto" w:fill="auto"/>
          </w:tcPr>
          <w:p w14:paraId="681BB798" w14:textId="77777777" w:rsidR="00F97FAE" w:rsidRPr="007E4180" w:rsidRDefault="00F97FAE" w:rsidP="002F13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30190" wp14:editId="6AAFE1ED">
                  <wp:extent cx="900430" cy="9004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F2AAC" w14:textId="77777777" w:rsidR="00F97FAE" w:rsidRPr="00507E24" w:rsidRDefault="00F97FAE" w:rsidP="002F136A">
            <w:pPr>
              <w:pStyle w:val="Titolo2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7B4186" wp14:editId="2B8D984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582295</wp:posOffset>
                      </wp:positionV>
                      <wp:extent cx="635" cy="635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5pt,45.85pt" to="94.6pt,4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" o:allowincell="f" strokeweight=".5pt">
                      <v:stroke startarrowwidth="narrow" startarrowlength="short" endarrowwidth="narrow" endarrowlength="short"/>
                      <v:shadow opacity="49150f"/>
                    </v:line>
                  </w:pict>
                </mc:Fallback>
              </mc:AlternateContent>
            </w:r>
            <w:r w:rsidRPr="00507E24">
              <w:rPr>
                <w:sz w:val="24"/>
              </w:rPr>
              <w:t>UNIVERSITÀ DI CATANIA</w:t>
            </w:r>
          </w:p>
          <w:p w14:paraId="7FF4C3E6" w14:textId="77777777" w:rsidR="00F97FAE" w:rsidRPr="00A7049C" w:rsidRDefault="00F97FAE" w:rsidP="002F136A">
            <w:pPr>
              <w:pStyle w:val="Titolo1"/>
              <w:spacing w:line="240" w:lineRule="auto"/>
            </w:pPr>
            <w:r w:rsidRPr="007E4180">
              <w:t>Dipa</w:t>
            </w:r>
            <w:r>
              <w:t>rtimento di Scienze Umanistiche</w:t>
            </w:r>
          </w:p>
        </w:tc>
      </w:tr>
      <w:tr w:rsidR="00F97FAE" w:rsidRPr="00A7049C" w14:paraId="571DC984" w14:textId="77777777" w:rsidTr="002F136A">
        <w:tc>
          <w:tcPr>
            <w:tcW w:w="2526" w:type="dxa"/>
            <w:shd w:val="clear" w:color="auto" w:fill="auto"/>
          </w:tcPr>
          <w:p w14:paraId="2F72976F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Docente</w:t>
            </w:r>
          </w:p>
        </w:tc>
        <w:tc>
          <w:tcPr>
            <w:tcW w:w="7397" w:type="dxa"/>
            <w:shd w:val="clear" w:color="auto" w:fill="auto"/>
          </w:tcPr>
          <w:p w14:paraId="5A284CF9" w14:textId="414518D5" w:rsidR="00F97FAE" w:rsidRPr="00A7049C" w:rsidRDefault="00996FC6" w:rsidP="002F136A">
            <w:pPr>
              <w:spacing w:before="100" w:beforeAutospacing="1" w:after="100" w:afterAutospacing="1" w:line="276" w:lineRule="auto"/>
            </w:pPr>
            <w:r>
              <w:t>Alessandro Lutri</w:t>
            </w:r>
          </w:p>
        </w:tc>
      </w:tr>
      <w:tr w:rsidR="00F97FAE" w:rsidRPr="00A7049C" w14:paraId="66EFF39C" w14:textId="77777777" w:rsidTr="002F136A">
        <w:tc>
          <w:tcPr>
            <w:tcW w:w="2526" w:type="dxa"/>
            <w:shd w:val="clear" w:color="auto" w:fill="auto"/>
          </w:tcPr>
          <w:p w14:paraId="2C2323D9" w14:textId="4A5D95B4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DENOMINAZIONE Insegnamento</w:t>
            </w:r>
          </w:p>
        </w:tc>
        <w:tc>
          <w:tcPr>
            <w:tcW w:w="7397" w:type="dxa"/>
            <w:shd w:val="clear" w:color="auto" w:fill="auto"/>
          </w:tcPr>
          <w:p w14:paraId="5B22F3CD" w14:textId="0344FDF9" w:rsidR="00F97FAE" w:rsidRPr="00A7049C" w:rsidRDefault="00996FC6" w:rsidP="002F136A">
            <w:r>
              <w:t>Antropologia culturale</w:t>
            </w:r>
          </w:p>
        </w:tc>
      </w:tr>
      <w:tr w:rsidR="00F97FAE" w:rsidRPr="00A7049C" w14:paraId="131B3388" w14:textId="77777777" w:rsidTr="002F136A">
        <w:tc>
          <w:tcPr>
            <w:tcW w:w="2526" w:type="dxa"/>
            <w:shd w:val="clear" w:color="auto" w:fill="auto"/>
          </w:tcPr>
          <w:p w14:paraId="20D16C50" w14:textId="2E0EA3FD" w:rsidR="00F97FAE" w:rsidRPr="00996FC6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DENOMINAZIONE Insegnamento</w:t>
            </w:r>
          </w:p>
        </w:tc>
        <w:tc>
          <w:tcPr>
            <w:tcW w:w="7397" w:type="dxa"/>
            <w:shd w:val="clear" w:color="auto" w:fill="auto"/>
          </w:tcPr>
          <w:p w14:paraId="1D34F156" w14:textId="1D12EE8D" w:rsidR="00F97FAE" w:rsidRPr="00A7049C" w:rsidRDefault="00B517E2" w:rsidP="002F136A">
            <w:r>
              <w:t xml:space="preserve">Cultural </w:t>
            </w:r>
            <w:proofErr w:type="spellStart"/>
            <w:r>
              <w:t>anthropology</w:t>
            </w:r>
            <w:proofErr w:type="spellEnd"/>
          </w:p>
        </w:tc>
      </w:tr>
      <w:tr w:rsidR="00F97FAE" w:rsidRPr="00A7049C" w14:paraId="322AC8FB" w14:textId="77777777" w:rsidTr="002F136A">
        <w:trPr>
          <w:trHeight w:val="601"/>
        </w:trPr>
        <w:tc>
          <w:tcPr>
            <w:tcW w:w="2526" w:type="dxa"/>
            <w:shd w:val="clear" w:color="auto" w:fill="auto"/>
          </w:tcPr>
          <w:p w14:paraId="1594A03B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Settore scientifico disciplinare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01D3B747" w14:textId="7A5668F7" w:rsidR="00F97FAE" w:rsidRPr="00A7049C" w:rsidRDefault="00B517E2" w:rsidP="002F136A">
            <w:r>
              <w:t xml:space="preserve">M-DEA/01 </w:t>
            </w:r>
          </w:p>
        </w:tc>
      </w:tr>
      <w:tr w:rsidR="00F97FAE" w:rsidRPr="00A7049C" w14:paraId="3B8C66B5" w14:textId="77777777" w:rsidTr="002F136A">
        <w:trPr>
          <w:trHeight w:val="601"/>
        </w:trPr>
        <w:tc>
          <w:tcPr>
            <w:tcW w:w="2526" w:type="dxa"/>
            <w:shd w:val="clear" w:color="auto" w:fill="auto"/>
          </w:tcPr>
          <w:p w14:paraId="2E6D02C7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Corso di Laurea in cui l’insegnamento è erogato</w:t>
            </w:r>
          </w:p>
        </w:tc>
        <w:tc>
          <w:tcPr>
            <w:tcW w:w="7397" w:type="dxa"/>
            <w:shd w:val="clear" w:color="auto" w:fill="auto"/>
          </w:tcPr>
          <w:p w14:paraId="2710629D" w14:textId="4E35DAC1" w:rsidR="00F97FAE" w:rsidRDefault="00F97FAE" w:rsidP="00F97FAE">
            <w:pPr>
              <w:numPr>
                <w:ilvl w:val="0"/>
                <w:numId w:val="3"/>
              </w:numPr>
            </w:pPr>
            <w:r>
              <w:t xml:space="preserve">Laurea in:  </w:t>
            </w:r>
            <w:r w:rsidR="00B517E2">
              <w:t xml:space="preserve">Scienze e lingue per la comunicazione </w:t>
            </w:r>
          </w:p>
          <w:p w14:paraId="3AA3DE1A" w14:textId="6005D273" w:rsidR="00F97FAE" w:rsidRPr="00A7049C" w:rsidRDefault="00F97FAE" w:rsidP="00B517E2">
            <w:pPr>
              <w:spacing w:before="120" w:line="360" w:lineRule="auto"/>
              <w:ind w:left="720"/>
            </w:pPr>
          </w:p>
        </w:tc>
      </w:tr>
      <w:tr w:rsidR="00F97FAE" w:rsidRPr="00A7049C" w14:paraId="58EF2CAE" w14:textId="77777777" w:rsidTr="002F136A">
        <w:tc>
          <w:tcPr>
            <w:tcW w:w="2526" w:type="dxa"/>
            <w:shd w:val="clear" w:color="auto" w:fill="auto"/>
          </w:tcPr>
          <w:p w14:paraId="144D10BD" w14:textId="77777777" w:rsidR="00F97FAE" w:rsidRPr="00F804B0" w:rsidRDefault="00F97FAE" w:rsidP="002F136A">
            <w:pPr>
              <w:ind w:right="-108"/>
              <w:rPr>
                <w:b/>
              </w:rPr>
            </w:pPr>
            <w:r w:rsidRPr="00F804B0">
              <w:rPr>
                <w:b/>
              </w:rPr>
              <w:t>Anno di corso in cui l’insegnamento è erogato</w:t>
            </w:r>
          </w:p>
        </w:tc>
        <w:tc>
          <w:tcPr>
            <w:tcW w:w="7397" w:type="dxa"/>
            <w:shd w:val="clear" w:color="auto" w:fill="auto"/>
          </w:tcPr>
          <w:p w14:paraId="54E131E1" w14:textId="77777777" w:rsidR="00F97FAE" w:rsidRDefault="00F97FAE" w:rsidP="00F97FAE">
            <w:pPr>
              <w:numPr>
                <w:ilvl w:val="0"/>
                <w:numId w:val="1"/>
              </w:numPr>
            </w:pPr>
            <w:r>
              <w:t>II anno</w:t>
            </w:r>
          </w:p>
          <w:p w14:paraId="5E435A61" w14:textId="031604B2" w:rsidR="00F97FAE" w:rsidRPr="00A7049C" w:rsidRDefault="00F97FAE" w:rsidP="00B517E2">
            <w:pPr>
              <w:ind w:left="720"/>
            </w:pPr>
          </w:p>
        </w:tc>
      </w:tr>
      <w:tr w:rsidR="00F97FAE" w:rsidRPr="00A7049C" w14:paraId="439C5BEB" w14:textId="77777777" w:rsidTr="002F136A">
        <w:trPr>
          <w:trHeight w:val="505"/>
        </w:trPr>
        <w:tc>
          <w:tcPr>
            <w:tcW w:w="2526" w:type="dxa"/>
            <w:shd w:val="clear" w:color="auto" w:fill="auto"/>
          </w:tcPr>
          <w:p w14:paraId="6A91E933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Periodo didattico (semestre):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39B2F4DD" w14:textId="77777777" w:rsidR="00F97FAE" w:rsidRDefault="00F97FAE" w:rsidP="00F97FAE">
            <w:pPr>
              <w:numPr>
                <w:ilvl w:val="0"/>
                <w:numId w:val="2"/>
              </w:numPr>
              <w:tabs>
                <w:tab w:val="clear" w:pos="720"/>
              </w:tabs>
            </w:pPr>
            <w:r>
              <w:t xml:space="preserve">semestrale:   </w:t>
            </w:r>
          </w:p>
          <w:p w14:paraId="21689156" w14:textId="0E1B0CD8" w:rsidR="00F97FAE" w:rsidRPr="00A7049C" w:rsidRDefault="00F97FAE" w:rsidP="002F136A">
            <w:pPr>
              <w:ind w:left="179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6E913" wp14:editId="73F87A95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38100" b="381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1.95pt;margin-top:3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38990" wp14:editId="37410E4A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38100" b="3810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1.95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"/>
                  </w:pict>
                </mc:Fallback>
              </mc:AlternateContent>
            </w:r>
            <w:r w:rsidRPr="00A7049C">
              <w:t>I semestre</w:t>
            </w:r>
            <w:r w:rsidR="00B517E2">
              <w:t xml:space="preserve">         </w:t>
            </w:r>
          </w:p>
        </w:tc>
      </w:tr>
      <w:tr w:rsidR="00F97FAE" w:rsidRPr="00A7049C" w14:paraId="57137FB0" w14:textId="77777777" w:rsidTr="002F136A">
        <w:tc>
          <w:tcPr>
            <w:tcW w:w="2526" w:type="dxa"/>
            <w:shd w:val="clear" w:color="auto" w:fill="auto"/>
          </w:tcPr>
          <w:p w14:paraId="607F31BE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Totale crediti: CFU</w:t>
            </w:r>
          </w:p>
        </w:tc>
        <w:tc>
          <w:tcPr>
            <w:tcW w:w="7397" w:type="dxa"/>
            <w:shd w:val="clear" w:color="auto" w:fill="auto"/>
          </w:tcPr>
          <w:p w14:paraId="0AA42B08" w14:textId="77777777" w:rsidR="00F97FAE" w:rsidRPr="00A7049C" w:rsidRDefault="00F97FAE" w:rsidP="002F136A"/>
        </w:tc>
      </w:tr>
      <w:tr w:rsidR="00F97FAE" w:rsidRPr="00A7049C" w14:paraId="276EB1AA" w14:textId="77777777" w:rsidTr="002F136A">
        <w:tc>
          <w:tcPr>
            <w:tcW w:w="2526" w:type="dxa"/>
            <w:shd w:val="clear" w:color="auto" w:fill="auto"/>
          </w:tcPr>
          <w:p w14:paraId="22165C1B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Numero ORE</w:t>
            </w:r>
          </w:p>
        </w:tc>
        <w:tc>
          <w:tcPr>
            <w:tcW w:w="7397" w:type="dxa"/>
            <w:shd w:val="clear" w:color="auto" w:fill="auto"/>
          </w:tcPr>
          <w:p w14:paraId="56E1971A" w14:textId="6CCCDABE" w:rsidR="00F97FAE" w:rsidRPr="00A7049C" w:rsidRDefault="00F97FAE" w:rsidP="002F136A">
            <w:r>
              <w:t>Lezioni frontali o attività equivale</w:t>
            </w:r>
            <w:r w:rsidR="008729D7">
              <w:t>nti</w:t>
            </w:r>
            <w:r w:rsidR="002C36A1">
              <w:t>: 42</w:t>
            </w:r>
          </w:p>
        </w:tc>
      </w:tr>
      <w:tr w:rsidR="00F97FAE" w:rsidRPr="009C2457" w14:paraId="3B4DF166" w14:textId="77777777" w:rsidTr="002F136A">
        <w:tc>
          <w:tcPr>
            <w:tcW w:w="2526" w:type="dxa"/>
            <w:shd w:val="clear" w:color="auto" w:fill="auto"/>
          </w:tcPr>
          <w:p w14:paraId="5CA28BD7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Obiettivi del corso</w:t>
            </w:r>
          </w:p>
          <w:p w14:paraId="62DBA313" w14:textId="77777777" w:rsidR="00F97FAE" w:rsidRPr="00F804B0" w:rsidRDefault="00F97FAE" w:rsidP="002F136A">
            <w:r w:rsidRPr="00F804B0">
              <w:rPr>
                <w:b/>
              </w:rPr>
              <w:t>(in italiano)</w:t>
            </w:r>
          </w:p>
        </w:tc>
        <w:tc>
          <w:tcPr>
            <w:tcW w:w="7397" w:type="dxa"/>
            <w:shd w:val="clear" w:color="auto" w:fill="auto"/>
          </w:tcPr>
          <w:p w14:paraId="544285A4" w14:textId="77777777" w:rsidR="00D34996" w:rsidRDefault="00D34996" w:rsidP="00D34996">
            <w:pPr>
              <w:pStyle w:val="Rientrocorpodeltesto"/>
              <w:ind w:firstLine="0"/>
            </w:pPr>
            <w:r>
              <w:t xml:space="preserve">L’obbiettivo </w:t>
            </w:r>
            <w:r w:rsidRPr="00167E41">
              <w:rPr>
                <w:b/>
              </w:rPr>
              <w:t>generale</w:t>
            </w:r>
            <w:r>
              <w:t xml:space="preserve"> del corso è rivolto a approfondire lo studio empirico delle forme del pensiero inerenti il mondo umano (le relazioni sociali tra gli individui) e il mondo non-umano (animale, botanico, tecnico, etc.), in relazione alle forme della socialità e relazionalità umane. </w:t>
            </w:r>
          </w:p>
          <w:p w14:paraId="170DC191" w14:textId="77777777" w:rsidR="00D34996" w:rsidRPr="003B0318" w:rsidRDefault="00D34996" w:rsidP="00D34996">
            <w:pPr>
              <w:pStyle w:val="Rientrocorpodeltesto"/>
              <w:ind w:firstLine="0"/>
              <w:rPr>
                <w:b/>
              </w:rPr>
            </w:pPr>
            <w:r>
              <w:t xml:space="preserve">Lo studio antropologico, in quanto “studio con” delle </w:t>
            </w:r>
            <w:r w:rsidRPr="00667C95">
              <w:rPr>
                <w:b/>
              </w:rPr>
              <w:t>concezioni</w:t>
            </w:r>
            <w:r>
              <w:t xml:space="preserve"> e </w:t>
            </w:r>
            <w:r w:rsidRPr="003B0318">
              <w:rPr>
                <w:b/>
              </w:rPr>
              <w:t>riflessioni</w:t>
            </w:r>
            <w:r>
              <w:t xml:space="preserve"> che gli individui di varie società propongono sulla propria e altrui esistenza sociale e sul mondo che esse abitano, è uno studio che mette </w:t>
            </w:r>
            <w:r w:rsidRPr="003B0318">
              <w:rPr>
                <w:b/>
              </w:rPr>
              <w:t xml:space="preserve">a confronto </w:t>
            </w:r>
            <w:r>
              <w:t xml:space="preserve">i diversi </w:t>
            </w:r>
            <w:r w:rsidRPr="003B0318">
              <w:rPr>
                <w:b/>
              </w:rPr>
              <w:t>orizzonti di pensiero</w:t>
            </w:r>
            <w:r>
              <w:t xml:space="preserve"> (scientifici e filosofico-culturali) che con le proprie riflessioni e indagini propongono certe idee sull’emergere della socialità e relazionalità attraverso cui gli individui e le collettività sociali  danno forma alla propria esistenza sociale (forme di vita).  </w:t>
            </w:r>
          </w:p>
          <w:p w14:paraId="090C337A" w14:textId="48ACFC4E" w:rsidR="00867C54" w:rsidRDefault="00867C54" w:rsidP="00D34996">
            <w:pPr>
              <w:pStyle w:val="Default"/>
              <w:jc w:val="both"/>
            </w:pPr>
            <w:r>
              <w:t xml:space="preserve">Il corso prevede inoltre un </w:t>
            </w:r>
            <w:r w:rsidRPr="00867C54">
              <w:rPr>
                <w:b/>
              </w:rPr>
              <w:t xml:space="preserve">approfondimento </w:t>
            </w:r>
            <w:r>
              <w:t>sullo studio etnografico dei processi e le esperienze migratorie (volontarie e f</w:t>
            </w:r>
            <w:r w:rsidR="00354C49">
              <w:t xml:space="preserve">orzate) contemporanee secondo sia la prospettiva </w:t>
            </w:r>
            <w:r w:rsidR="00354C49" w:rsidRPr="00354C49">
              <w:rPr>
                <w:b/>
              </w:rPr>
              <w:t>transnazionale</w:t>
            </w:r>
            <w:r w:rsidR="00354C49">
              <w:t xml:space="preserve"> sia </w:t>
            </w:r>
            <w:proofErr w:type="spellStart"/>
            <w:r w:rsidR="00354C49" w:rsidRPr="00354C49">
              <w:rPr>
                <w:b/>
              </w:rPr>
              <w:t>biopolitica</w:t>
            </w:r>
            <w:proofErr w:type="spellEnd"/>
            <w:r>
              <w:t>, e</w:t>
            </w:r>
            <w:r w:rsidR="00FB2A2F">
              <w:t xml:space="preserve">videnziando quali sono i </w:t>
            </w:r>
            <w:r w:rsidR="006E4A53">
              <w:t xml:space="preserve">molteplici </w:t>
            </w:r>
            <w:r w:rsidR="00FB2A2F">
              <w:t xml:space="preserve">fattori </w:t>
            </w:r>
            <w:r w:rsidR="006E4A53">
              <w:t xml:space="preserve">che presiedono alla </w:t>
            </w:r>
            <w:r w:rsidR="00354C49">
              <w:t xml:space="preserve">costruzione e ai ripensamenti </w:t>
            </w:r>
            <w:r w:rsidR="006E4A53">
              <w:t>dell</w:t>
            </w:r>
            <w:r w:rsidR="00354C49">
              <w:t xml:space="preserve">e </w:t>
            </w:r>
            <w:r w:rsidR="00354C49">
              <w:rPr>
                <w:b/>
              </w:rPr>
              <w:t xml:space="preserve">sé </w:t>
            </w:r>
            <w:r w:rsidR="00354C49">
              <w:t xml:space="preserve">individuale (maschile e femminile) e collettivo, in </w:t>
            </w:r>
            <w:r w:rsidR="00D34996">
              <w:t>relazione</w:t>
            </w:r>
            <w:r w:rsidR="00354C49">
              <w:t xml:space="preserve"> ai contesti sociali e culturali di provenienza</w:t>
            </w:r>
            <w:r w:rsidR="00D34996">
              <w:t xml:space="preserve">, ai propri desideri e aspettative, ai “dispositivi” di potere con cui le strutture che presiedono all’accoglienza dei migranti forzati cercano di </w:t>
            </w:r>
            <w:r w:rsidR="00D34996" w:rsidRPr="006E4A53">
              <w:rPr>
                <w:b/>
              </w:rPr>
              <w:t>plasmare</w:t>
            </w:r>
            <w:r w:rsidR="00D34996">
              <w:t xml:space="preserve"> le loro soggettività dando vita a nuove forme di cittadinanza. </w:t>
            </w:r>
          </w:p>
          <w:p w14:paraId="2009AB0B" w14:textId="3F2FC6F8" w:rsidR="00867C54" w:rsidRPr="00653985" w:rsidRDefault="00867C54" w:rsidP="00653985">
            <w:pPr>
              <w:pStyle w:val="Rientrocorpodeltesto"/>
              <w:ind w:firstLine="0"/>
              <w:rPr>
                <w:rFonts w:ascii="Times" w:hAnsi="Times" w:cs="Arial"/>
                <w:szCs w:val="24"/>
              </w:rPr>
            </w:pPr>
            <w:r>
              <w:t xml:space="preserve">Il corso è finalizzato a stimolare </w:t>
            </w:r>
            <w:r w:rsidR="00653985" w:rsidRPr="00867C54">
              <w:rPr>
                <w:rFonts w:ascii="Times" w:hAnsi="Times" w:cs="Arial"/>
                <w:szCs w:val="24"/>
              </w:rPr>
              <w:t>l’acquisizione di un’attitudine critica</w:t>
            </w:r>
            <w:r w:rsidR="00653985">
              <w:rPr>
                <w:rFonts w:ascii="Times" w:hAnsi="Times" w:cs="Arial"/>
                <w:szCs w:val="24"/>
              </w:rPr>
              <w:t xml:space="preserve">, </w:t>
            </w:r>
            <w:r w:rsidR="00653985" w:rsidRPr="00867C54">
              <w:rPr>
                <w:rFonts w:ascii="Times" w:hAnsi="Times" w:cs="Arial"/>
                <w:szCs w:val="24"/>
              </w:rPr>
              <w:t xml:space="preserve"> funzionale a una rielaborazione per</w:t>
            </w:r>
            <w:r w:rsidR="00653985">
              <w:rPr>
                <w:rFonts w:ascii="Times" w:hAnsi="Times" w:cs="Arial"/>
                <w:szCs w:val="24"/>
              </w:rPr>
              <w:t xml:space="preserve">sonale dei contenuti relativi allo </w:t>
            </w:r>
            <w:r w:rsidR="00653985" w:rsidRPr="00867C54">
              <w:rPr>
                <w:rFonts w:ascii="Times" w:hAnsi="Times" w:cs="Arial"/>
                <w:szCs w:val="24"/>
              </w:rPr>
              <w:t xml:space="preserve">  </w:t>
            </w:r>
            <w:r w:rsidR="00653985">
              <w:t xml:space="preserve">studio antropologico della socialità e relazionalità, e ai processi e alle esperienze migratorie contemporanee, anche attraverso il supporto di strumenti audiovisivi.  </w:t>
            </w:r>
            <w:r>
              <w:t xml:space="preserve"> </w:t>
            </w:r>
          </w:p>
          <w:p w14:paraId="2B5A1E6C" w14:textId="0D9ED66E" w:rsidR="00F97FAE" w:rsidRPr="009C2457" w:rsidRDefault="00F97FAE" w:rsidP="002F136A">
            <w:pPr>
              <w:jc w:val="both"/>
            </w:pPr>
          </w:p>
        </w:tc>
      </w:tr>
      <w:tr w:rsidR="00F97FAE" w:rsidRPr="009C2457" w14:paraId="677F36A5" w14:textId="77777777" w:rsidTr="002F136A">
        <w:tc>
          <w:tcPr>
            <w:tcW w:w="2526" w:type="dxa"/>
            <w:shd w:val="clear" w:color="auto" w:fill="auto"/>
          </w:tcPr>
          <w:p w14:paraId="38329991" w14:textId="58FDEFD4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Obiettivi del corso</w:t>
            </w:r>
          </w:p>
          <w:p w14:paraId="083A1C68" w14:textId="77777777" w:rsidR="00F97FAE" w:rsidRPr="00F804B0" w:rsidRDefault="00F97FAE" w:rsidP="002F136A">
            <w:pPr>
              <w:rPr>
                <w:color w:val="FF0000"/>
              </w:rPr>
            </w:pPr>
            <w:r w:rsidRPr="00F804B0">
              <w:rPr>
                <w:b/>
                <w:color w:val="FF0000"/>
              </w:rPr>
              <w:t>(in inglese)</w:t>
            </w:r>
          </w:p>
        </w:tc>
        <w:tc>
          <w:tcPr>
            <w:tcW w:w="7397" w:type="dxa"/>
            <w:shd w:val="clear" w:color="auto" w:fill="auto"/>
          </w:tcPr>
          <w:p w14:paraId="6211D081" w14:textId="0EB41B09" w:rsidR="00975560" w:rsidRDefault="00975560" w:rsidP="002C36A1">
            <w:pPr>
              <w:jc w:val="both"/>
            </w:pPr>
            <w:r>
              <w:t xml:space="preserve">The general </w:t>
            </w:r>
            <w:proofErr w:type="spellStart"/>
            <w:r>
              <w:t>aims</w:t>
            </w:r>
            <w:proofErr w:type="spellEnd"/>
            <w:r>
              <w:t xml:space="preserve"> of </w:t>
            </w:r>
            <w:proofErr w:type="spellStart"/>
            <w:r>
              <w:t>course</w:t>
            </w:r>
            <w:proofErr w:type="spellEnd"/>
            <w:r>
              <w:t xml:space="preserve"> are </w:t>
            </w:r>
            <w:proofErr w:type="spellStart"/>
            <w:r>
              <w:t>questioning</w:t>
            </w:r>
            <w:proofErr w:type="spellEnd"/>
            <w:r>
              <w:t xml:space="preserve"> the human </w:t>
            </w:r>
            <w:proofErr w:type="spellStart"/>
            <w:r>
              <w:t>sociality</w:t>
            </w:r>
            <w:proofErr w:type="spellEnd"/>
            <w:r>
              <w:t xml:space="preserve"> and </w:t>
            </w:r>
            <w:proofErr w:type="spellStart"/>
            <w:r>
              <w:t>relationality</w:t>
            </w:r>
            <w:proofErr w:type="spellEnd"/>
            <w:r>
              <w:t xml:space="preserve"> (human nature) from </w:t>
            </w:r>
            <w:proofErr w:type="spellStart"/>
            <w:r>
              <w:t>anthropological</w:t>
            </w:r>
            <w:proofErr w:type="spellEnd"/>
            <w:r>
              <w:t xml:space="preserve"> statement, </w:t>
            </w:r>
            <w:proofErr w:type="spellStart"/>
            <w:r w:rsidR="008653FC">
              <w:t>as</w:t>
            </w:r>
            <w:proofErr w:type="spellEnd"/>
            <w:r w:rsidR="008653FC">
              <w:t xml:space="preserve"> </w:t>
            </w:r>
            <w:r>
              <w:t>“</w:t>
            </w:r>
            <w:r w:rsidR="008653FC">
              <w:t xml:space="preserve">a </w:t>
            </w:r>
            <w:proofErr w:type="spellStart"/>
            <w:r>
              <w:t>study</w:t>
            </w:r>
            <w:proofErr w:type="spellEnd"/>
            <w:r>
              <w:t xml:space="preserve"> with” of </w:t>
            </w:r>
            <w:proofErr w:type="spellStart"/>
            <w:r>
              <w:t>forms</w:t>
            </w:r>
            <w:proofErr w:type="spellEnd"/>
            <w:r>
              <w:t xml:space="preserve"> and </w:t>
            </w:r>
            <w:proofErr w:type="spellStart"/>
            <w:r>
              <w:t>conceptualization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“</w:t>
            </w:r>
            <w:proofErr w:type="spellStart"/>
            <w:r>
              <w:t>other</w:t>
            </w:r>
            <w:proofErr w:type="spellEnd"/>
            <w:r>
              <w:t xml:space="preserve">” societies and </w:t>
            </w:r>
            <w:proofErr w:type="spellStart"/>
            <w:r>
              <w:t>cultures</w:t>
            </w:r>
            <w:proofErr w:type="spellEnd"/>
            <w:r>
              <w:t xml:space="preserve"> propose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sociality</w:t>
            </w:r>
            <w:proofErr w:type="spellEnd"/>
            <w:r>
              <w:t xml:space="preserve"> and </w:t>
            </w:r>
            <w:proofErr w:type="spellStart"/>
            <w:r>
              <w:t>relationality</w:t>
            </w:r>
            <w:proofErr w:type="spellEnd"/>
            <w:r>
              <w:t xml:space="preserve"> (in </w:t>
            </w:r>
            <w:proofErr w:type="spellStart"/>
            <w:r>
              <w:t>confront</w:t>
            </w:r>
            <w:proofErr w:type="spellEnd"/>
            <w:r>
              <w:t xml:space="preserve"> with </w:t>
            </w:r>
            <w:proofErr w:type="spellStart"/>
            <w:r>
              <w:t>those</w:t>
            </w:r>
            <w:proofErr w:type="spellEnd"/>
            <w:r>
              <w:t xml:space="preserve"> propose by west society and culture); </w:t>
            </w:r>
            <w:r w:rsidR="008653FC">
              <w:t xml:space="preserve">and, </w:t>
            </w:r>
            <w:r>
              <w:t>by anti-</w:t>
            </w:r>
            <w:proofErr w:type="spellStart"/>
            <w:r>
              <w:t>foundationalist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, with </w:t>
            </w:r>
            <w:proofErr w:type="spellStart"/>
            <w:r w:rsidR="008653FC">
              <w:t>experimental</w:t>
            </w:r>
            <w:proofErr w:type="spellEnd"/>
            <w:r w:rsidR="008653FC">
              <w:t xml:space="preserve"> </w:t>
            </w:r>
            <w:proofErr w:type="spellStart"/>
            <w:r w:rsidR="008653FC">
              <w:t>evidences</w:t>
            </w:r>
            <w:proofErr w:type="spellEnd"/>
            <w:r w:rsidR="008653FC">
              <w:t xml:space="preserve"> </w:t>
            </w:r>
            <w:proofErr w:type="spellStart"/>
            <w:r w:rsidR="008653FC">
              <w:t>about</w:t>
            </w:r>
            <w:proofErr w:type="spellEnd"/>
            <w:r w:rsidR="008653FC"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and </w:t>
            </w:r>
            <w:proofErr w:type="spellStart"/>
            <w:r>
              <w:t>possibilities</w:t>
            </w:r>
            <w:proofErr w:type="spellEnd"/>
            <w:r>
              <w:t xml:space="preserve"> of </w:t>
            </w:r>
            <w:proofErr w:type="spellStart"/>
            <w:r w:rsidR="008653FC">
              <w:t>sociality</w:t>
            </w:r>
            <w:proofErr w:type="spellEnd"/>
            <w:r w:rsidR="008653FC">
              <w:t xml:space="preserve"> and </w:t>
            </w:r>
            <w:proofErr w:type="spellStart"/>
            <w:r w:rsidR="008653FC">
              <w:t>relationality</w:t>
            </w:r>
            <w:proofErr w:type="spellEnd"/>
            <w:r w:rsidR="008653FC">
              <w:t xml:space="preserve">, in </w:t>
            </w:r>
            <w:proofErr w:type="spellStart"/>
            <w:r w:rsidR="008653FC">
              <w:t>their</w:t>
            </w:r>
            <w:proofErr w:type="spellEnd"/>
            <w:r w:rsidR="008653FC">
              <w:t xml:space="preserve"> </w:t>
            </w:r>
            <w:proofErr w:type="spellStart"/>
            <w:r w:rsidR="008653FC">
              <w:t>several</w:t>
            </w:r>
            <w:proofErr w:type="spellEnd"/>
            <w:r w:rsidR="008653FC">
              <w:t xml:space="preserve"> and </w:t>
            </w:r>
            <w:proofErr w:type="spellStart"/>
            <w:r w:rsidR="008653FC">
              <w:t>changeable</w:t>
            </w:r>
            <w:proofErr w:type="spellEnd"/>
            <w:r w:rsidR="008653FC">
              <w:t xml:space="preserve"> social and cultural </w:t>
            </w:r>
            <w:proofErr w:type="spellStart"/>
            <w:r w:rsidR="008653FC">
              <w:t>forms</w:t>
            </w:r>
            <w:proofErr w:type="spellEnd"/>
            <w:r w:rsidR="008653FC">
              <w:t xml:space="preserve">. </w:t>
            </w:r>
          </w:p>
          <w:p w14:paraId="38607542" w14:textId="7D63BFB7" w:rsidR="00F97FAE" w:rsidRPr="009C2457" w:rsidRDefault="00F97FAE" w:rsidP="002C36A1">
            <w:pPr>
              <w:jc w:val="both"/>
            </w:pPr>
          </w:p>
        </w:tc>
      </w:tr>
      <w:tr w:rsidR="00F97FAE" w:rsidRPr="00671268" w14:paraId="0FCE1BD8" w14:textId="77777777" w:rsidTr="002F136A">
        <w:trPr>
          <w:trHeight w:val="70"/>
        </w:trPr>
        <w:tc>
          <w:tcPr>
            <w:tcW w:w="2526" w:type="dxa"/>
            <w:shd w:val="clear" w:color="auto" w:fill="auto"/>
          </w:tcPr>
          <w:p w14:paraId="166057B2" w14:textId="6078DB66" w:rsidR="00F97FAE" w:rsidRPr="00753302" w:rsidRDefault="00F97FAE" w:rsidP="002F136A">
            <w:r w:rsidRPr="00753302">
              <w:t xml:space="preserve">Programmi del corso </w:t>
            </w:r>
          </w:p>
          <w:p w14:paraId="091115E5" w14:textId="77777777" w:rsidR="00F97FAE" w:rsidRPr="00753302" w:rsidRDefault="00F97FAE" w:rsidP="002F136A">
            <w:r w:rsidRPr="00753302">
              <w:t>(in italiano)</w:t>
            </w:r>
          </w:p>
        </w:tc>
        <w:tc>
          <w:tcPr>
            <w:tcW w:w="7397" w:type="dxa"/>
            <w:shd w:val="clear" w:color="auto" w:fill="auto"/>
          </w:tcPr>
          <w:p w14:paraId="554876BA" w14:textId="22851BE9" w:rsidR="0009114A" w:rsidRDefault="00DE152D" w:rsidP="00C37C8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Modulo 1 (</w:t>
            </w:r>
            <w:r w:rsidR="00C37C85" w:rsidRPr="00DE152D">
              <w:t>Fondamenti</w:t>
            </w:r>
            <w:r>
              <w:rPr>
                <w:b/>
              </w:rPr>
              <w:t>)</w:t>
            </w:r>
            <w:r>
              <w:t xml:space="preserve">: il dibattito filosofico e antropologico su Natura e Cultura nel formarsi della ragione antropologica moderna; il dibattito </w:t>
            </w:r>
            <w:r>
              <w:lastRenderedPageBreak/>
              <w:t xml:space="preserve">evoluzionista sul processo di ominazione; </w:t>
            </w:r>
            <w:r w:rsidR="0009114A">
              <w:t xml:space="preserve">le relazioni individuo/società nel pensiero filosofico e antropologico messe a confronto con la ricerca etnografica contemporanea; alcune configurazioni contemporanee della socialità e soggettività; la relazione corpo-mente-mondo nel pensiero filosofico e antropologico; le concezioni antropologiche tradizionali e i più recenti contributi sullo studio del Sé e della temporalità dell’esistenza sociale degli individui. </w:t>
            </w:r>
          </w:p>
          <w:p w14:paraId="59A0FB1B" w14:textId="62A83790" w:rsidR="00F97FAE" w:rsidRPr="00753302" w:rsidRDefault="0009114A" w:rsidP="00354C49">
            <w:pPr>
              <w:autoSpaceDE w:val="0"/>
              <w:autoSpaceDN w:val="0"/>
              <w:adjustRightInd w:val="0"/>
              <w:jc w:val="both"/>
            </w:pPr>
            <w:r w:rsidRPr="0009114A">
              <w:rPr>
                <w:b/>
              </w:rPr>
              <w:t>Modulo 2</w:t>
            </w:r>
            <w:r>
              <w:t xml:space="preserve"> (</w:t>
            </w:r>
            <w:r w:rsidR="002F136A" w:rsidRPr="0009114A">
              <w:t>Approfondimenti</w:t>
            </w:r>
            <w:r>
              <w:rPr>
                <w:b/>
              </w:rPr>
              <w:t>)</w:t>
            </w:r>
            <w:r w:rsidR="002F136A" w:rsidRPr="00753302">
              <w:t xml:space="preserve">: </w:t>
            </w:r>
            <w:r w:rsidR="00354C49">
              <w:t xml:space="preserve">lo studio transnazionale e </w:t>
            </w:r>
            <w:proofErr w:type="spellStart"/>
            <w:r w:rsidR="00354C49">
              <w:t>biopolitico</w:t>
            </w:r>
            <w:proofErr w:type="spellEnd"/>
            <w:r w:rsidR="00354C49">
              <w:t xml:space="preserve"> dei processi e delle esperienze migratorie dei migranti volontari e forzati. </w:t>
            </w:r>
          </w:p>
        </w:tc>
      </w:tr>
      <w:tr w:rsidR="00F97FAE" w:rsidRPr="00671268" w14:paraId="65F59783" w14:textId="77777777" w:rsidTr="002F136A">
        <w:trPr>
          <w:trHeight w:val="70"/>
        </w:trPr>
        <w:tc>
          <w:tcPr>
            <w:tcW w:w="2526" w:type="dxa"/>
            <w:shd w:val="clear" w:color="auto" w:fill="auto"/>
          </w:tcPr>
          <w:p w14:paraId="710EE98F" w14:textId="57FF9396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lastRenderedPageBreak/>
              <w:t xml:space="preserve">Programmi del corso </w:t>
            </w:r>
          </w:p>
          <w:p w14:paraId="642306B6" w14:textId="77777777" w:rsidR="00F97FAE" w:rsidRPr="00F804B0" w:rsidRDefault="00F97FAE" w:rsidP="002F136A">
            <w:pPr>
              <w:rPr>
                <w:b/>
                <w:color w:val="FF0000"/>
              </w:rPr>
            </w:pPr>
            <w:r w:rsidRPr="00F804B0">
              <w:rPr>
                <w:b/>
                <w:color w:val="FF0000"/>
              </w:rPr>
              <w:t>(in inglese)</w:t>
            </w:r>
          </w:p>
        </w:tc>
        <w:tc>
          <w:tcPr>
            <w:tcW w:w="7397" w:type="dxa"/>
            <w:shd w:val="clear" w:color="auto" w:fill="auto"/>
          </w:tcPr>
          <w:p w14:paraId="2EC56662" w14:textId="5C799330" w:rsidR="00F97FAE" w:rsidRPr="00671268" w:rsidRDefault="005C1D36" w:rsidP="002F136A">
            <w:pPr>
              <w:autoSpaceDE w:val="0"/>
              <w:autoSpaceDN w:val="0"/>
              <w:adjustRightInd w:val="0"/>
            </w:pPr>
            <w:r>
              <w:t xml:space="preserve">: </w:t>
            </w:r>
            <w:proofErr w:type="spellStart"/>
            <w:r>
              <w:t>handbook</w:t>
            </w:r>
            <w:proofErr w:type="spellEnd"/>
            <w:r>
              <w:t xml:space="preserve"> to </w:t>
            </w:r>
            <w:proofErr w:type="spellStart"/>
            <w:r>
              <w:t>anthropological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,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of </w:t>
            </w:r>
            <w:proofErr w:type="spellStart"/>
            <w:r>
              <w:t>sociality</w:t>
            </w:r>
            <w:proofErr w:type="spellEnd"/>
            <w:r>
              <w:t xml:space="preserve"> and </w:t>
            </w:r>
            <w:proofErr w:type="spellStart"/>
            <w:r>
              <w:t>relationality</w:t>
            </w:r>
            <w:proofErr w:type="spellEnd"/>
            <w:r>
              <w:t xml:space="preserve"> (human nature),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several</w:t>
            </w:r>
            <w:proofErr w:type="spellEnd"/>
            <w:r>
              <w:t xml:space="preserve"> and </w:t>
            </w:r>
            <w:proofErr w:type="spellStart"/>
            <w:r>
              <w:t>muteable</w:t>
            </w:r>
            <w:proofErr w:type="spellEnd"/>
            <w:r>
              <w:t xml:space="preserve"> social and cultural </w:t>
            </w:r>
            <w:proofErr w:type="spellStart"/>
            <w:r>
              <w:t>forms</w:t>
            </w:r>
            <w:proofErr w:type="spellEnd"/>
            <w:r>
              <w:t xml:space="preserve"> (</w:t>
            </w:r>
            <w:proofErr w:type="spellStart"/>
            <w:r>
              <w:t>forms</w:t>
            </w:r>
            <w:proofErr w:type="spellEnd"/>
            <w:r>
              <w:t xml:space="preserve"> of life). </w:t>
            </w:r>
          </w:p>
        </w:tc>
      </w:tr>
      <w:tr w:rsidR="00F97FAE" w:rsidRPr="00A7049C" w14:paraId="73044051" w14:textId="77777777" w:rsidTr="002F136A">
        <w:trPr>
          <w:trHeight w:val="70"/>
        </w:trPr>
        <w:tc>
          <w:tcPr>
            <w:tcW w:w="2526" w:type="dxa"/>
            <w:shd w:val="clear" w:color="auto" w:fill="auto"/>
          </w:tcPr>
          <w:p w14:paraId="19C27B99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Testi adottati</w:t>
            </w:r>
          </w:p>
          <w:p w14:paraId="550C4B7C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(in italiano)</w:t>
            </w:r>
          </w:p>
        </w:tc>
        <w:tc>
          <w:tcPr>
            <w:tcW w:w="7397" w:type="dxa"/>
            <w:shd w:val="clear" w:color="auto" w:fill="auto"/>
          </w:tcPr>
          <w:p w14:paraId="6F30E3AB" w14:textId="77777777" w:rsidR="00C43ED8" w:rsidRDefault="00C43ED8" w:rsidP="00C43ED8">
            <w:pPr>
              <w:autoSpaceDE w:val="0"/>
              <w:autoSpaceDN w:val="0"/>
              <w:adjustRightInd w:val="0"/>
              <w:jc w:val="both"/>
              <w:rPr>
                <w:bCs/>
                <w:lang w:val="fr-FR"/>
              </w:rPr>
            </w:pPr>
            <w:r w:rsidRPr="00F30BE5">
              <w:rPr>
                <w:b/>
                <w:bCs/>
                <w:lang w:val="fr-FR"/>
              </w:rPr>
              <w:t>Alessandro Lutri</w:t>
            </w:r>
            <w:r>
              <w:rPr>
                <w:bCs/>
                <w:lang w:val="fr-FR"/>
              </w:rPr>
              <w:t xml:space="preserve">, 2013, </w:t>
            </w:r>
            <w:r w:rsidRPr="00B22D9F">
              <w:rPr>
                <w:bCs/>
                <w:i/>
                <w:lang w:val="fr-FR"/>
              </w:rPr>
              <w:t xml:space="preserve">Forme di </w:t>
            </w:r>
            <w:proofErr w:type="spellStart"/>
            <w:r w:rsidRPr="00B22D9F">
              <w:rPr>
                <w:bCs/>
                <w:i/>
                <w:lang w:val="fr-FR"/>
              </w:rPr>
              <w:t>vita</w:t>
            </w:r>
            <w:proofErr w:type="spellEnd"/>
            <w:r w:rsidRPr="00B22D9F">
              <w:rPr>
                <w:bCs/>
                <w:i/>
                <w:lang w:val="fr-FR"/>
              </w:rPr>
              <w:t xml:space="preserve"> e </w:t>
            </w:r>
            <w:proofErr w:type="spellStart"/>
            <w:r w:rsidRPr="00B22D9F">
              <w:rPr>
                <w:bCs/>
                <w:i/>
                <w:lang w:val="fr-FR"/>
              </w:rPr>
              <w:t>natura</w:t>
            </w:r>
            <w:proofErr w:type="spellEnd"/>
            <w:r w:rsidRPr="00B22D9F">
              <w:rPr>
                <w:bCs/>
                <w:i/>
                <w:lang w:val="fr-FR"/>
              </w:rPr>
              <w:t xml:space="preserve"> </w:t>
            </w:r>
            <w:proofErr w:type="spellStart"/>
            <w:r w:rsidRPr="00B22D9F">
              <w:rPr>
                <w:bCs/>
                <w:i/>
                <w:lang w:val="fr-FR"/>
              </w:rPr>
              <w:t>umana</w:t>
            </w:r>
            <w:proofErr w:type="spellEnd"/>
            <w:r w:rsidRPr="00B22D9F">
              <w:rPr>
                <w:bCs/>
                <w:i/>
                <w:lang w:val="fr-FR"/>
              </w:rPr>
              <w:t xml:space="preserve">. Una mappa per il </w:t>
            </w:r>
            <w:proofErr w:type="spellStart"/>
            <w:r w:rsidRPr="00B22D9F">
              <w:rPr>
                <w:bCs/>
                <w:i/>
                <w:lang w:val="fr-FR"/>
              </w:rPr>
              <w:t>sapere</w:t>
            </w:r>
            <w:proofErr w:type="spellEnd"/>
            <w:r w:rsidRPr="00B22D9F">
              <w:rPr>
                <w:bCs/>
                <w:i/>
                <w:lang w:val="fr-FR"/>
              </w:rPr>
              <w:t xml:space="preserve"> </w:t>
            </w:r>
            <w:proofErr w:type="spellStart"/>
            <w:r w:rsidRPr="00B22D9F">
              <w:rPr>
                <w:bCs/>
                <w:i/>
                <w:lang w:val="fr-FR"/>
              </w:rPr>
              <w:t>antropologico</w:t>
            </w:r>
            <w:proofErr w:type="spellEnd"/>
            <w:r>
              <w:rPr>
                <w:bCs/>
                <w:lang w:val="fr-FR"/>
              </w:rPr>
              <w:t xml:space="preserve">, Roma, </w:t>
            </w:r>
            <w:proofErr w:type="spellStart"/>
            <w:r>
              <w:rPr>
                <w:bCs/>
                <w:lang w:val="fr-FR"/>
              </w:rPr>
              <w:t>Carocci</w:t>
            </w:r>
            <w:proofErr w:type="spellEnd"/>
            <w:r>
              <w:rPr>
                <w:bCs/>
                <w:lang w:val="fr-FR"/>
              </w:rPr>
              <w:t xml:space="preserve">; </w:t>
            </w:r>
          </w:p>
          <w:p w14:paraId="419B17C6" w14:textId="70AD2A74" w:rsidR="00C43ED8" w:rsidRDefault="00C43ED8" w:rsidP="00C43ED8">
            <w:pPr>
              <w:pStyle w:val="Normale1"/>
              <w:jc w:val="both"/>
              <w:rPr>
                <w:sz w:val="24"/>
              </w:rPr>
            </w:pPr>
            <w:r w:rsidRPr="00F30BE5">
              <w:rPr>
                <w:b/>
                <w:sz w:val="24"/>
              </w:rPr>
              <w:t>Luciano Li</w:t>
            </w:r>
            <w:r w:rsidR="00F30BE5">
              <w:rPr>
                <w:b/>
                <w:sz w:val="24"/>
              </w:rPr>
              <w:t xml:space="preserve"> </w:t>
            </w:r>
            <w:proofErr w:type="spellStart"/>
            <w:r w:rsidRPr="00F30BE5">
              <w:rPr>
                <w:b/>
                <w:sz w:val="24"/>
              </w:rPr>
              <w:t>Causi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(a </w:t>
            </w:r>
            <w:proofErr w:type="spellStart"/>
            <w:r>
              <w:t>cura</w:t>
            </w:r>
            <w:proofErr w:type="spellEnd"/>
            <w:r>
              <w:t xml:space="preserve">), </w:t>
            </w:r>
            <w:r>
              <w:rPr>
                <w:sz w:val="24"/>
              </w:rPr>
              <w:t xml:space="preserve">2013, </w:t>
            </w:r>
            <w:proofErr w:type="spellStart"/>
            <w:r w:rsidRPr="00643A54">
              <w:rPr>
                <w:i/>
                <w:sz w:val="24"/>
              </w:rPr>
              <w:t>Migrare</w:t>
            </w:r>
            <w:proofErr w:type="spellEnd"/>
            <w:r w:rsidRPr="00643A54">
              <w:rPr>
                <w:i/>
                <w:sz w:val="24"/>
              </w:rPr>
              <w:t xml:space="preserve">, </w:t>
            </w:r>
            <w:proofErr w:type="spellStart"/>
            <w:r w:rsidRPr="00643A54">
              <w:rPr>
                <w:i/>
                <w:sz w:val="24"/>
              </w:rPr>
              <w:t>fuggire</w:t>
            </w:r>
            <w:proofErr w:type="spellEnd"/>
            <w:r w:rsidRPr="00643A54">
              <w:rPr>
                <w:i/>
                <w:sz w:val="24"/>
              </w:rPr>
              <w:t xml:space="preserve">. </w:t>
            </w:r>
            <w:proofErr w:type="spellStart"/>
            <w:r w:rsidRPr="00643A54">
              <w:rPr>
                <w:i/>
                <w:sz w:val="24"/>
              </w:rPr>
              <w:t>Ricostruire</w:t>
            </w:r>
            <w:proofErr w:type="spellEnd"/>
            <w:r w:rsidRPr="00643A54">
              <w:rPr>
                <w:i/>
                <w:sz w:val="24"/>
              </w:rPr>
              <w:t xml:space="preserve"> </w:t>
            </w:r>
            <w:proofErr w:type="spellStart"/>
            <w:r w:rsidRPr="00643A54">
              <w:rPr>
                <w:i/>
                <w:sz w:val="24"/>
              </w:rPr>
              <w:t>poteri</w:t>
            </w:r>
            <w:proofErr w:type="spellEnd"/>
            <w:r w:rsidRPr="00643A54">
              <w:rPr>
                <w:i/>
                <w:sz w:val="24"/>
              </w:rPr>
              <w:t xml:space="preserve"> e </w:t>
            </w:r>
            <w:proofErr w:type="spellStart"/>
            <w:r w:rsidRPr="00643A54">
              <w:rPr>
                <w:i/>
                <w:sz w:val="24"/>
              </w:rPr>
              <w:t>stranieri</w:t>
            </w:r>
            <w:proofErr w:type="spellEnd"/>
            <w:r w:rsidRPr="00643A54">
              <w:rPr>
                <w:i/>
                <w:sz w:val="24"/>
              </w:rPr>
              <w:t xml:space="preserve"> </w:t>
            </w:r>
            <w:proofErr w:type="spellStart"/>
            <w:r w:rsidRPr="00643A54">
              <w:rPr>
                <w:i/>
                <w:sz w:val="24"/>
              </w:rPr>
              <w:t>negli</w:t>
            </w:r>
            <w:proofErr w:type="spellEnd"/>
            <w:r w:rsidRPr="00643A54">
              <w:rPr>
                <w:i/>
                <w:sz w:val="24"/>
              </w:rPr>
              <w:t xml:space="preserve"> </w:t>
            </w:r>
            <w:proofErr w:type="spellStart"/>
            <w:r w:rsidRPr="00643A54">
              <w:rPr>
                <w:i/>
                <w:sz w:val="24"/>
              </w:rPr>
              <w:t>spazi</w:t>
            </w:r>
            <w:proofErr w:type="spellEnd"/>
            <w:r w:rsidRPr="00643A54">
              <w:rPr>
                <w:i/>
                <w:sz w:val="24"/>
              </w:rPr>
              <w:t xml:space="preserve"> </w:t>
            </w:r>
            <w:proofErr w:type="spellStart"/>
            <w:r w:rsidRPr="00643A54">
              <w:rPr>
                <w:i/>
                <w:sz w:val="24"/>
              </w:rPr>
              <w:t>sociali</w:t>
            </w:r>
            <w:proofErr w:type="spellEnd"/>
            <w:r w:rsidRPr="00643A54">
              <w:rPr>
                <w:i/>
                <w:sz w:val="24"/>
              </w:rPr>
              <w:t xml:space="preserve"> </w:t>
            </w:r>
            <w:proofErr w:type="spellStart"/>
            <w:r w:rsidRPr="00643A54">
              <w:rPr>
                <w:i/>
                <w:sz w:val="24"/>
              </w:rPr>
              <w:t>europei</w:t>
            </w:r>
            <w:proofErr w:type="spellEnd"/>
            <w:r>
              <w:rPr>
                <w:sz w:val="24"/>
              </w:rPr>
              <w:t xml:space="preserve">, Pisa, </w:t>
            </w:r>
            <w:proofErr w:type="spellStart"/>
            <w:r>
              <w:rPr>
                <w:sz w:val="24"/>
              </w:rPr>
              <w:t>Pacini</w:t>
            </w:r>
            <w:proofErr w:type="spellEnd"/>
          </w:p>
          <w:p w14:paraId="75EBDC1F" w14:textId="77777777" w:rsidR="00C43ED8" w:rsidRDefault="00C43ED8" w:rsidP="00C43ED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74687F41" w14:textId="77777777" w:rsidR="00C43ED8" w:rsidRDefault="00C43ED8" w:rsidP="00C43ED8">
            <w:pPr>
              <w:autoSpaceDE w:val="0"/>
              <w:autoSpaceDN w:val="0"/>
              <w:adjustRightInd w:val="0"/>
              <w:jc w:val="both"/>
            </w:pPr>
            <w:r w:rsidRPr="00F949B8">
              <w:rPr>
                <w:u w:val="single"/>
              </w:rPr>
              <w:t>uno a scelta</w:t>
            </w:r>
            <w:r>
              <w:t xml:space="preserve"> tra i seguenti:</w:t>
            </w:r>
          </w:p>
          <w:p w14:paraId="67E6D354" w14:textId="77777777" w:rsidR="00C43ED8" w:rsidRDefault="00C43ED8" w:rsidP="00C43E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r w:rsidRPr="00F30BE5">
              <w:rPr>
                <w:b/>
              </w:rPr>
              <w:t>Della Puppa, F</w:t>
            </w:r>
            <w:r w:rsidRPr="00643A54">
              <w:t>.,</w:t>
            </w:r>
            <w:r>
              <w:rPr>
                <w:b/>
              </w:rPr>
              <w:t xml:space="preserve"> </w:t>
            </w:r>
            <w:r w:rsidRPr="00726D7D">
              <w:t xml:space="preserve">2014, </w:t>
            </w:r>
            <w:r w:rsidRPr="00726D7D">
              <w:rPr>
                <w:i/>
              </w:rPr>
              <w:t>Uomini in movimento. Il lavoro della maschilità tra Bangladesh e Italia</w:t>
            </w:r>
            <w:r w:rsidRPr="00726D7D">
              <w:t xml:space="preserve">, Rosenberg &amp; </w:t>
            </w:r>
            <w:proofErr w:type="spellStart"/>
            <w:r w:rsidRPr="00726D7D">
              <w:t>Sellier</w:t>
            </w:r>
            <w:proofErr w:type="spellEnd"/>
            <w:r w:rsidRPr="00726D7D">
              <w:t>, Torino;</w:t>
            </w:r>
          </w:p>
          <w:p w14:paraId="07DA3085" w14:textId="5CEC9AAD" w:rsidR="00354C49" w:rsidRPr="00507E24" w:rsidRDefault="00C43ED8" w:rsidP="00354C49">
            <w:pPr>
              <w:autoSpaceDE w:val="0"/>
              <w:autoSpaceDN w:val="0"/>
              <w:adjustRightInd w:val="0"/>
              <w:jc w:val="both"/>
              <w:rPr>
                <w:bCs/>
                <w:lang w:val="fr-FR"/>
              </w:rPr>
            </w:pPr>
            <w:r>
              <w:rPr>
                <w:b/>
              </w:rPr>
              <w:t xml:space="preserve">2) </w:t>
            </w:r>
            <w:proofErr w:type="spellStart"/>
            <w:r w:rsidR="00354C49" w:rsidRPr="00F30BE5">
              <w:rPr>
                <w:b/>
              </w:rPr>
              <w:t>Ravenda</w:t>
            </w:r>
            <w:proofErr w:type="spellEnd"/>
            <w:r w:rsidR="00354C49" w:rsidRPr="00F30BE5">
              <w:rPr>
                <w:b/>
              </w:rPr>
              <w:t>, A.F.,</w:t>
            </w:r>
            <w:r w:rsidR="00354C49">
              <w:t xml:space="preserve"> 2011, </w:t>
            </w:r>
            <w:r w:rsidR="00354C49" w:rsidRPr="00354C49">
              <w:rPr>
                <w:i/>
              </w:rPr>
              <w:t xml:space="preserve">Alì fuori dalla legge. Migrazione, </w:t>
            </w:r>
            <w:proofErr w:type="spellStart"/>
            <w:r w:rsidR="00354C49" w:rsidRPr="00354C49">
              <w:rPr>
                <w:i/>
              </w:rPr>
              <w:t>biopolitica</w:t>
            </w:r>
            <w:proofErr w:type="spellEnd"/>
            <w:r w:rsidR="00354C49" w:rsidRPr="00354C49">
              <w:rPr>
                <w:i/>
              </w:rPr>
              <w:t xml:space="preserve"> e stato di eccezione in Italia</w:t>
            </w:r>
            <w:r w:rsidR="00354C49">
              <w:t>, Verona, Ombre corte</w:t>
            </w:r>
          </w:p>
          <w:p w14:paraId="53B8C902" w14:textId="2ECDBFA6" w:rsidR="00F97FAE" w:rsidRPr="00507E24" w:rsidRDefault="00F97FAE" w:rsidP="00C43ED8">
            <w:pPr>
              <w:autoSpaceDE w:val="0"/>
              <w:autoSpaceDN w:val="0"/>
              <w:adjustRightInd w:val="0"/>
              <w:jc w:val="both"/>
              <w:rPr>
                <w:bCs/>
                <w:lang w:val="fr-FR"/>
              </w:rPr>
            </w:pPr>
          </w:p>
        </w:tc>
      </w:tr>
      <w:tr w:rsidR="00F97FAE" w:rsidRPr="00A7049C" w14:paraId="2132AA2E" w14:textId="77777777" w:rsidTr="002F136A">
        <w:trPr>
          <w:trHeight w:val="70"/>
        </w:trPr>
        <w:tc>
          <w:tcPr>
            <w:tcW w:w="2526" w:type="dxa"/>
            <w:shd w:val="clear" w:color="auto" w:fill="auto"/>
          </w:tcPr>
          <w:p w14:paraId="05246787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Testi adottati</w:t>
            </w:r>
          </w:p>
          <w:p w14:paraId="60A46282" w14:textId="77777777" w:rsidR="00F97FAE" w:rsidRPr="00F804B0" w:rsidRDefault="00F97FAE" w:rsidP="002F136A">
            <w:pPr>
              <w:rPr>
                <w:b/>
                <w:color w:val="FF0000"/>
              </w:rPr>
            </w:pPr>
            <w:r w:rsidRPr="00F804B0">
              <w:rPr>
                <w:b/>
                <w:color w:val="FF0000"/>
              </w:rPr>
              <w:t>(in inglese)</w:t>
            </w:r>
          </w:p>
        </w:tc>
        <w:tc>
          <w:tcPr>
            <w:tcW w:w="7397" w:type="dxa"/>
            <w:shd w:val="clear" w:color="auto" w:fill="auto"/>
          </w:tcPr>
          <w:p w14:paraId="1D640579" w14:textId="77777777" w:rsidR="00F97FAE" w:rsidRPr="00507E24" w:rsidRDefault="00F97FAE" w:rsidP="002F136A">
            <w:pPr>
              <w:autoSpaceDE w:val="0"/>
              <w:autoSpaceDN w:val="0"/>
              <w:adjustRightInd w:val="0"/>
              <w:jc w:val="both"/>
              <w:rPr>
                <w:bCs/>
                <w:lang w:val="fr-FR"/>
              </w:rPr>
            </w:pPr>
          </w:p>
        </w:tc>
      </w:tr>
      <w:tr w:rsidR="00F97FAE" w:rsidRPr="00A7049C" w14:paraId="546EE8C5" w14:textId="77777777" w:rsidTr="002F136A">
        <w:trPr>
          <w:trHeight w:val="277"/>
        </w:trPr>
        <w:tc>
          <w:tcPr>
            <w:tcW w:w="2526" w:type="dxa"/>
            <w:shd w:val="clear" w:color="auto" w:fill="auto"/>
          </w:tcPr>
          <w:p w14:paraId="2FB77B88" w14:textId="77777777" w:rsidR="00F97FAE" w:rsidRPr="00F804B0" w:rsidRDefault="00F97FAE" w:rsidP="002F136A">
            <w:pPr>
              <w:ind w:right="-108"/>
              <w:rPr>
                <w:b/>
              </w:rPr>
            </w:pPr>
            <w:r w:rsidRPr="00F804B0">
              <w:rPr>
                <w:b/>
              </w:rPr>
              <w:t>Modalità di erogazione della prova</w:t>
            </w:r>
          </w:p>
        </w:tc>
        <w:tc>
          <w:tcPr>
            <w:tcW w:w="7397" w:type="dxa"/>
            <w:shd w:val="clear" w:color="auto" w:fill="auto"/>
          </w:tcPr>
          <w:p w14:paraId="1495DDE9" w14:textId="053E7C66" w:rsidR="00F97FAE" w:rsidRPr="00E71F02" w:rsidRDefault="00E71F02" w:rsidP="00E71F02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r w:rsidRPr="00E71F02">
              <w:rPr>
                <w:rFonts w:ascii="Times" w:eastAsiaTheme="minorEastAsia" w:hAnsi="Times" w:cs="Geneva"/>
                <w:color w:val="434343"/>
              </w:rPr>
              <w:t xml:space="preserve">L'esame consiste in una prova scritta di 2 ore, composta da quattro-cinque domande aperte da discutere in uno spazio limitato (una pagina per quesito). Non è ammesso l'uso dei testi durante lo svolgimento della prova. </w:t>
            </w:r>
            <w:bookmarkEnd w:id="0"/>
          </w:p>
        </w:tc>
      </w:tr>
      <w:tr w:rsidR="00F97FAE" w:rsidRPr="00A7049C" w14:paraId="1B0EFA20" w14:textId="77777777" w:rsidTr="002F136A">
        <w:trPr>
          <w:trHeight w:val="277"/>
        </w:trPr>
        <w:tc>
          <w:tcPr>
            <w:tcW w:w="2526" w:type="dxa"/>
            <w:shd w:val="clear" w:color="auto" w:fill="auto"/>
          </w:tcPr>
          <w:p w14:paraId="3DE49F17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Frequenza</w:t>
            </w:r>
          </w:p>
        </w:tc>
        <w:tc>
          <w:tcPr>
            <w:tcW w:w="7397" w:type="dxa"/>
            <w:shd w:val="clear" w:color="auto" w:fill="auto"/>
          </w:tcPr>
          <w:p w14:paraId="5C03DBAA" w14:textId="77777777" w:rsidR="00F97FAE" w:rsidRPr="007E4180" w:rsidRDefault="00F97FAE" w:rsidP="00F97FAE">
            <w:pPr>
              <w:numPr>
                <w:ilvl w:val="0"/>
                <w:numId w:val="4"/>
              </w:numPr>
            </w:pPr>
            <w:r>
              <w:t>Facoltativa</w:t>
            </w:r>
          </w:p>
        </w:tc>
      </w:tr>
      <w:tr w:rsidR="00F97FAE" w:rsidRPr="00A7049C" w14:paraId="00EC9265" w14:textId="77777777" w:rsidTr="002F136A">
        <w:trPr>
          <w:trHeight w:val="277"/>
        </w:trPr>
        <w:tc>
          <w:tcPr>
            <w:tcW w:w="2526" w:type="dxa"/>
            <w:shd w:val="clear" w:color="auto" w:fill="auto"/>
          </w:tcPr>
          <w:p w14:paraId="289E70A6" w14:textId="77777777" w:rsidR="00F97FAE" w:rsidRPr="00F804B0" w:rsidRDefault="00F97FAE" w:rsidP="002F136A">
            <w:pPr>
              <w:rPr>
                <w:b/>
              </w:rPr>
            </w:pPr>
            <w:r w:rsidRPr="00F804B0">
              <w:rPr>
                <w:b/>
              </w:rPr>
              <w:t>Valutazione</w:t>
            </w:r>
          </w:p>
        </w:tc>
        <w:tc>
          <w:tcPr>
            <w:tcW w:w="7397" w:type="dxa"/>
            <w:shd w:val="clear" w:color="auto" w:fill="auto"/>
          </w:tcPr>
          <w:p w14:paraId="34EC229A" w14:textId="493717ED" w:rsidR="00F97FAE" w:rsidRDefault="00F97FAE" w:rsidP="00552FE4">
            <w:pPr>
              <w:numPr>
                <w:ilvl w:val="0"/>
                <w:numId w:val="6"/>
              </w:numPr>
              <w:tabs>
                <w:tab w:val="left" w:pos="3604"/>
              </w:tabs>
            </w:pPr>
          </w:p>
          <w:p w14:paraId="3507A25D" w14:textId="601C7CBE" w:rsidR="00753302" w:rsidRDefault="00E71F02" w:rsidP="00E71F02">
            <w:pPr>
              <w:tabs>
                <w:tab w:val="left" w:pos="3604"/>
              </w:tabs>
              <w:ind w:left="720"/>
            </w:pPr>
            <w:r>
              <w:rPr>
                <w:rFonts w:ascii="Times" w:eastAsiaTheme="minorEastAsia" w:hAnsi="Times" w:cs="Times"/>
                <w:color w:val="1A1A1A"/>
                <w:sz w:val="26"/>
                <w:szCs w:val="26"/>
              </w:rPr>
              <w:t>L</w:t>
            </w:r>
            <w:r w:rsidR="00753302">
              <w:rPr>
                <w:rFonts w:ascii="Times" w:eastAsiaTheme="minorEastAsia" w:hAnsi="Times" w:cs="Times"/>
                <w:color w:val="1A1A1A"/>
                <w:sz w:val="26"/>
                <w:szCs w:val="26"/>
              </w:rPr>
              <w:t>a valutazione terrà conto della padronanza dei contenuti e delle competenze acquisite, dell’accuratezza linguistica e proprietà lessicale, nonché della capacità argomentativa dimostrata dal candidato.</w:t>
            </w:r>
          </w:p>
        </w:tc>
      </w:tr>
    </w:tbl>
    <w:p w14:paraId="0EB8E08C" w14:textId="77777777" w:rsidR="00F97FAE" w:rsidRDefault="00F97FAE" w:rsidP="00F97FAE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049C">
        <w:t>Il Docente</w:t>
      </w:r>
    </w:p>
    <w:p w14:paraId="02503FC8" w14:textId="5BAB9AAB" w:rsidR="00030A87" w:rsidRDefault="00030A87" w:rsidP="00030A87">
      <w:pPr>
        <w:spacing w:before="120"/>
        <w:ind w:left="3540" w:firstLine="708"/>
        <w:jc w:val="center"/>
      </w:pPr>
      <w:r>
        <w:t>Alessandro Lutri</w:t>
      </w:r>
    </w:p>
    <w:p w14:paraId="658B02A5" w14:textId="77777777" w:rsidR="00F97FAE" w:rsidRPr="006F0DFF" w:rsidRDefault="00F97FAE" w:rsidP="00F97FAE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F16A98" w14:textId="77777777" w:rsidR="006F0AEF" w:rsidRDefault="006F0AEF"/>
    <w:sectPr w:rsidR="006F0AEF" w:rsidSect="002F136A">
      <w:headerReference w:type="default" r:id="rId9"/>
      <w:pgSz w:w="11900" w:h="1682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25E24" w14:textId="77777777" w:rsidR="00FB2A2F" w:rsidRDefault="00FB2A2F">
      <w:r>
        <w:separator/>
      </w:r>
    </w:p>
  </w:endnote>
  <w:endnote w:type="continuationSeparator" w:id="0">
    <w:p w14:paraId="1329DECE" w14:textId="77777777" w:rsidR="00FB2A2F" w:rsidRDefault="00FB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DF078" w14:textId="77777777" w:rsidR="00FB2A2F" w:rsidRDefault="00FB2A2F">
      <w:r>
        <w:separator/>
      </w:r>
    </w:p>
  </w:footnote>
  <w:footnote w:type="continuationSeparator" w:id="0">
    <w:p w14:paraId="00E48F9B" w14:textId="77777777" w:rsidR="00FB2A2F" w:rsidRDefault="00FB2A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3FA0" w14:textId="77777777" w:rsidR="00FB2A2F" w:rsidRDefault="00FB2A2F">
    <w:pPr>
      <w:pStyle w:val="Intest"/>
    </w:pPr>
    <w:r>
      <w:t>Anno Accademico 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4E6"/>
    <w:multiLevelType w:val="hybridMultilevel"/>
    <w:tmpl w:val="BF3E4E72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A684B"/>
    <w:multiLevelType w:val="hybridMultilevel"/>
    <w:tmpl w:val="8FFC495E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B4EF2"/>
    <w:multiLevelType w:val="hybridMultilevel"/>
    <w:tmpl w:val="FE547176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603AE"/>
    <w:multiLevelType w:val="hybridMultilevel"/>
    <w:tmpl w:val="F89E6E14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0C4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  <w:w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6164B"/>
    <w:multiLevelType w:val="hybridMultilevel"/>
    <w:tmpl w:val="CB54D2B8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A5106"/>
    <w:multiLevelType w:val="hybridMultilevel"/>
    <w:tmpl w:val="2A2C5E8A"/>
    <w:lvl w:ilvl="0" w:tplc="D668D9FE">
      <w:start w:val="99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70BB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  <w:w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AE"/>
    <w:rsid w:val="00030A87"/>
    <w:rsid w:val="0009114A"/>
    <w:rsid w:val="0019704E"/>
    <w:rsid w:val="002C36A1"/>
    <w:rsid w:val="002D6DAB"/>
    <w:rsid w:val="002F136A"/>
    <w:rsid w:val="0034649C"/>
    <w:rsid w:val="00354C49"/>
    <w:rsid w:val="004A1B80"/>
    <w:rsid w:val="00552FE4"/>
    <w:rsid w:val="00570217"/>
    <w:rsid w:val="005C1D36"/>
    <w:rsid w:val="00653985"/>
    <w:rsid w:val="00667C95"/>
    <w:rsid w:val="006E4A53"/>
    <w:rsid w:val="006F0AEF"/>
    <w:rsid w:val="00753302"/>
    <w:rsid w:val="008653FC"/>
    <w:rsid w:val="00867C54"/>
    <w:rsid w:val="008729D7"/>
    <w:rsid w:val="009729C9"/>
    <w:rsid w:val="00975560"/>
    <w:rsid w:val="00995EAA"/>
    <w:rsid w:val="00996FC6"/>
    <w:rsid w:val="00A52313"/>
    <w:rsid w:val="00B517E2"/>
    <w:rsid w:val="00C37C85"/>
    <w:rsid w:val="00C43ED8"/>
    <w:rsid w:val="00D34996"/>
    <w:rsid w:val="00DD2BB7"/>
    <w:rsid w:val="00DE152D"/>
    <w:rsid w:val="00E71F02"/>
    <w:rsid w:val="00EB44D5"/>
    <w:rsid w:val="00F30BE5"/>
    <w:rsid w:val="00F97FAE"/>
    <w:rsid w:val="00F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F436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F97FAE"/>
    <w:rPr>
      <w:rFonts w:ascii="Times New Roman" w:eastAsia="MS Mincho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7FAE"/>
    <w:pPr>
      <w:keepNext/>
      <w:spacing w:line="240" w:lineRule="exact"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97FAE"/>
    <w:pPr>
      <w:keepNext/>
      <w:jc w:val="center"/>
      <w:outlineLvl w:val="1"/>
    </w:pPr>
    <w:rPr>
      <w:sz w:val="2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F97FAE"/>
    <w:rPr>
      <w:rFonts w:ascii="Times New Roman" w:eastAsia="MS Mincho" w:hAnsi="Times New Roman" w:cs="Times New Roman"/>
      <w:i/>
      <w:szCs w:val="20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F97FAE"/>
    <w:rPr>
      <w:rFonts w:ascii="Times New Roman" w:eastAsia="MS Mincho" w:hAnsi="Times New Roman" w:cs="Times New Roman"/>
      <w:sz w:val="28"/>
      <w:szCs w:val="20"/>
    </w:rPr>
  </w:style>
  <w:style w:type="paragraph" w:customStyle="1" w:styleId="Intest">
    <w:name w:val="Intest"/>
    <w:basedOn w:val="Normale"/>
    <w:uiPriority w:val="99"/>
    <w:rsid w:val="00F97F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FA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7FAE"/>
    <w:rPr>
      <w:rFonts w:ascii="Lucida Grande" w:eastAsia="MS Mincho" w:hAnsi="Lucida Grande" w:cs="Lucida Grande"/>
      <w:sz w:val="18"/>
      <w:szCs w:val="18"/>
    </w:rPr>
  </w:style>
  <w:style w:type="paragraph" w:customStyle="1" w:styleId="Normale1">
    <w:name w:val="Normale1"/>
    <w:rsid w:val="00C43ED8"/>
    <w:rPr>
      <w:rFonts w:ascii="Times New Roman" w:eastAsia="Calibri" w:hAnsi="Times New Roman" w:cs="Times New Roman"/>
      <w:sz w:val="20"/>
      <w:szCs w:val="20"/>
      <w:lang w:val="en-US" w:eastAsia="en-US" w:bidi="it-IT"/>
    </w:rPr>
  </w:style>
  <w:style w:type="paragraph" w:styleId="Rientrocorpodeltesto">
    <w:name w:val="Body Text Indent"/>
    <w:basedOn w:val="Normale"/>
    <w:link w:val="RientrocorpodeltestoCarattere"/>
    <w:rsid w:val="00A52313"/>
    <w:pPr>
      <w:ind w:firstLine="284"/>
      <w:jc w:val="both"/>
    </w:pPr>
    <w:rPr>
      <w:rFonts w:eastAsia="Times New Roman"/>
      <w:szCs w:val="20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A52313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867C5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F97FAE"/>
    <w:rPr>
      <w:rFonts w:ascii="Times New Roman" w:eastAsia="MS Mincho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7FAE"/>
    <w:pPr>
      <w:keepNext/>
      <w:spacing w:line="240" w:lineRule="exact"/>
      <w:jc w:val="center"/>
      <w:outlineLvl w:val="0"/>
    </w:pPr>
    <w:rPr>
      <w:i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97FAE"/>
    <w:pPr>
      <w:keepNext/>
      <w:jc w:val="center"/>
      <w:outlineLvl w:val="1"/>
    </w:pPr>
    <w:rPr>
      <w:sz w:val="2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F97FAE"/>
    <w:rPr>
      <w:rFonts w:ascii="Times New Roman" w:eastAsia="MS Mincho" w:hAnsi="Times New Roman" w:cs="Times New Roman"/>
      <w:i/>
      <w:szCs w:val="20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F97FAE"/>
    <w:rPr>
      <w:rFonts w:ascii="Times New Roman" w:eastAsia="MS Mincho" w:hAnsi="Times New Roman" w:cs="Times New Roman"/>
      <w:sz w:val="28"/>
      <w:szCs w:val="20"/>
    </w:rPr>
  </w:style>
  <w:style w:type="paragraph" w:customStyle="1" w:styleId="Intest">
    <w:name w:val="Intest"/>
    <w:basedOn w:val="Normale"/>
    <w:uiPriority w:val="99"/>
    <w:rsid w:val="00F97F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FA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7FAE"/>
    <w:rPr>
      <w:rFonts w:ascii="Lucida Grande" w:eastAsia="MS Mincho" w:hAnsi="Lucida Grande" w:cs="Lucida Grande"/>
      <w:sz w:val="18"/>
      <w:szCs w:val="18"/>
    </w:rPr>
  </w:style>
  <w:style w:type="paragraph" w:customStyle="1" w:styleId="Normale1">
    <w:name w:val="Normale1"/>
    <w:rsid w:val="00C43ED8"/>
    <w:rPr>
      <w:rFonts w:ascii="Times New Roman" w:eastAsia="Calibri" w:hAnsi="Times New Roman" w:cs="Times New Roman"/>
      <w:sz w:val="20"/>
      <w:szCs w:val="20"/>
      <w:lang w:val="en-US" w:eastAsia="en-US" w:bidi="it-IT"/>
    </w:rPr>
  </w:style>
  <w:style w:type="paragraph" w:styleId="Rientrocorpodeltesto">
    <w:name w:val="Body Text Indent"/>
    <w:basedOn w:val="Normale"/>
    <w:link w:val="RientrocorpodeltestoCarattere"/>
    <w:rsid w:val="00A52313"/>
    <w:pPr>
      <w:ind w:firstLine="284"/>
      <w:jc w:val="both"/>
    </w:pPr>
    <w:rPr>
      <w:rFonts w:eastAsia="Times New Roman"/>
      <w:szCs w:val="20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A52313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867C5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747</Words>
  <Characters>4259</Characters>
  <Application>Microsoft Macintosh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Lutri</dc:creator>
  <cp:keywords/>
  <dc:description/>
  <cp:lastModifiedBy>Sandro Lutri</cp:lastModifiedBy>
  <cp:revision>26</cp:revision>
  <dcterms:created xsi:type="dcterms:W3CDTF">2015-05-14T13:39:00Z</dcterms:created>
  <dcterms:modified xsi:type="dcterms:W3CDTF">2016-02-11T12:35:00Z</dcterms:modified>
</cp:coreProperties>
</file>